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83B5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83B5B" w:rsidRDefault="000A317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83B5B" w:rsidRDefault="000A3176">
            <w:pPr>
              <w:spacing w:after="0" w:line="240" w:lineRule="auto"/>
            </w:pPr>
            <w:r>
              <w:t>26635</w:t>
            </w:r>
          </w:p>
        </w:tc>
      </w:tr>
      <w:tr w:rsidR="00283B5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83B5B" w:rsidRDefault="000A317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83B5B" w:rsidRDefault="000A3176">
            <w:pPr>
              <w:spacing w:after="0" w:line="240" w:lineRule="auto"/>
            </w:pPr>
            <w:r>
              <w:t>OPĆA BOLNICA GOSPIĆ</w:t>
            </w:r>
          </w:p>
        </w:tc>
      </w:tr>
      <w:tr w:rsidR="00283B5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83B5B" w:rsidRDefault="000A317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83B5B" w:rsidRDefault="000A3176">
            <w:pPr>
              <w:spacing w:after="0" w:line="240" w:lineRule="auto"/>
            </w:pPr>
            <w:r>
              <w:t>11</w:t>
            </w:r>
          </w:p>
        </w:tc>
      </w:tr>
    </w:tbl>
    <w:p w:rsidR="00283B5B" w:rsidRDefault="000A3176">
      <w:r>
        <w:br/>
      </w:r>
    </w:p>
    <w:p w:rsidR="00283B5B" w:rsidRDefault="000A317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83B5B" w:rsidRDefault="000A317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83B5B" w:rsidRDefault="000A317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11.059.146,60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12.775.050,51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15.223.894,82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17.409.012,29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283B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4.164.748,22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4.633.961,78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111,3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991.299,33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2.856.710,81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288,2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283B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991.299,33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2.856.710,81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288,2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283B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283B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5.156.047,55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7.490.672,59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145,3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>Financijsko izvješće Opće bolnice Gospić za razdoblje od 01. siječnja do 31. prosinca 2025. godine sastavljeno je sukladno odredbama Pravilnika o financijskom izvještavanju u proračunskom računovodstvu ( Narodne novine, 37/2022, 52/2025 ), te Pravilnika o proračunskom računovodstvu i računskom planu ( Narodne novine 158/2023, 154/2024).</w:t>
      </w:r>
    </w:p>
    <w:p w:rsidR="00283B5B" w:rsidRDefault="000A3176">
      <w:pPr>
        <w:jc w:val="both"/>
      </w:pPr>
      <w:r>
        <w:lastRenderedPageBreak/>
        <w:t xml:space="preserve">U promatranom razdoblju prihodi poslovanja ostvareni su u iznosu od 12.775.050,51 eura što je u odnosu na isto razdoblje prethodne godine povećanje istih za 15,5 %, a rashodi poslovanja ostvareni su u iznosu od 17.409.012,29 eura što je povećanje istih u odnosu na isto razdoblje prethodne godine za 14,4 %. Dakle, ostvareni manjak prihoda poslovanja na kraju izvještajnog razdoblja iznosi 4.633.961,78 eura.  U izvještajnom razdoblju ostvareno je i 2.856.710,81 eura rashoda za nabavu nefinancijske imovine što je značajno povećanje istih u odnosu na isto razdoblje prethodne godine, a rezultat značajnog povećanja rashoda za nabavu nefinancijske imovine u promatranom razdoblju je nabavka novog </w:t>
      </w:r>
      <w:proofErr w:type="spellStart"/>
      <w:r>
        <w:t>multislojnog</w:t>
      </w:r>
      <w:proofErr w:type="spellEnd"/>
      <w:r>
        <w:t xml:space="preserve"> kompjuteriziranog </w:t>
      </w:r>
      <w:proofErr w:type="spellStart"/>
      <w:r>
        <w:t>tomografa</w:t>
      </w:r>
      <w:proofErr w:type="spellEnd"/>
      <w:r>
        <w:t xml:space="preserve"> ( MSCT)  u vrijednosti 731.250,00 eura i nabavke novog uređaja za magnetsku rezonanciju u vrijednosti 1.200.750,00 eura, dakle ukupne vrijednosti 1.932.000, 00 eura koji će se financirati sredstvima Ministarstva zdravstva. Ukupni manjak prihoda i primitaka na kraju izvještajnog razdoblja iznosi 7.490.672,59 eura u koje je uključen ranije spomenuti iznos od 1.932.000, 00 eura za nabavku uređaja za koje će sredstva doznačiti Ministarstvo zdravstva u 2026.godini, a ako izuzmemo taj iznos iz ukupnog manjka, manjak na kraju 2025.godine iznosi 5.558.672,59 eura.</w:t>
      </w:r>
    </w:p>
    <w:p w:rsidR="00283B5B" w:rsidRDefault="000A3176">
      <w:r>
        <w:br/>
      </w:r>
    </w:p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1.092.628,92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333.050,00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30,5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Na ovoj stavci zabilježeno je smanjenje prihoda za 69,5 %, a rezultat smanjenja su manje primljene pomoći od Hrvatskog zavoda za zdravstveno osiguranje temeljem Odluke o isplati namjenske pomoći za podmirenje dijela dospjelih obveza bolničkih zdravstvenih usluga kojima je osnivač Republika Hrvatska i kojima su osnivači županije prema dobavljačima lijekova, potrošnog i </w:t>
      </w:r>
      <w:proofErr w:type="spellStart"/>
      <w:r>
        <w:t>ugradbenog</w:t>
      </w:r>
      <w:proofErr w:type="spellEnd"/>
      <w:r>
        <w:t xml:space="preserve"> medicinskog materijala iskazanih na šifri </w:t>
      </w:r>
      <w:r>
        <w:rPr>
          <w:i/>
        </w:rPr>
        <w:t>6341 - Tekuće pomoći od izvanproračunskih korisnika</w:t>
      </w:r>
      <w:r>
        <w:t xml:space="preserve"> obzirom da je predmetnom odlukom utvrđeno da sredstva isplaćuje Hrvatski zavod za zdravstveno osiguranje i isti bilježe smanjenje u odnosu na isto razdoblje prethodne godine za 31 %.  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62.358,16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53.203,01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85,3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Na šifri </w:t>
      </w:r>
      <w:r>
        <w:rPr>
          <w:i/>
        </w:rPr>
        <w:t>636 - Pomoći proračunskim korisnicima iz proračuna koji im nije nadležan</w:t>
      </w:r>
      <w:r>
        <w:t xml:space="preserve"> u izvještajnom razdoblju tekuće godine zabilježeno je smanjenje prihoda u odnosu na </w:t>
      </w:r>
      <w:r>
        <w:lastRenderedPageBreak/>
        <w:t xml:space="preserve">izvještajno razdoblje prethodne godine za 14,7 % obzirom da je Opća bolnica Gospić u izvještajnom razdoblju tekuće godine primila 50.000 eura pomoći od Ličko senjske županije, od kojih je 30.000 eura namijenjeno za podmirenje dijela obveza za plinofikaciju bolnice, a 20.000 eura za uređenje Bolničke ljekarne, dodatno je bolnica primila i 3.203,01 euro od Grada Gospića za Odjel za ginekologiju i </w:t>
      </w:r>
      <w:proofErr w:type="spellStart"/>
      <w:r>
        <w:t>opstetriciju</w:t>
      </w:r>
      <w:proofErr w:type="spellEnd"/>
      <w:r>
        <w:t>, a u izvještajnom razdoblju prethodne godine primila je veći iznos sredstava pomoći za 9.155,15 eura.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36.933,50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111.566,50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302,1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Na šifri </w:t>
      </w:r>
      <w:r>
        <w:rPr>
          <w:i/>
        </w:rPr>
        <w:t xml:space="preserve">639 - Prijenosi između proračunskih </w:t>
      </w:r>
      <w:proofErr w:type="spellStart"/>
      <w:r>
        <w:rPr>
          <w:i/>
        </w:rPr>
        <w:t>korinika</w:t>
      </w:r>
      <w:proofErr w:type="spellEnd"/>
      <w:r>
        <w:rPr>
          <w:i/>
        </w:rPr>
        <w:t xml:space="preserve"> istog proračuna</w:t>
      </w:r>
      <w:r>
        <w:t xml:space="preserve"> zabilježeno je značajno povećanje prihoda u odnosu na isto razdoblje prethodne godine, a povećanje je rezultat primljenih sredstava u prosincu 2025. godine temeljem projekta „Izgradnja građevine javne namjene, društvena namjena-zdravstvena i garaža za potrebe bolnice“ , prema ugovoru broj C2.1.R2.I1.01.120 u iznosu 111.566,50 eura koji su evidentirani na šifri  </w:t>
      </w:r>
      <w:r>
        <w:rPr>
          <w:i/>
        </w:rPr>
        <w:t>6393 Tekući prijenosi između proračunskih korisnika istog proračuna temeljem prijenosa EU sredstava</w:t>
      </w:r>
      <w:r>
        <w:t>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5.464,44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73,6</w:t>
            </w:r>
          </w:p>
        </w:tc>
      </w:tr>
    </w:tbl>
    <w:p w:rsidR="00283B5B" w:rsidRDefault="00283B5B">
      <w:pPr>
        <w:spacing w:after="0"/>
      </w:pPr>
    </w:p>
    <w:p w:rsidR="00283B5B" w:rsidRDefault="000A3176">
      <w:r>
        <w:t>U izvještajnom razdoblju tekuće godine zabilježeno je smanjenje na šifri</w:t>
      </w:r>
      <w:r>
        <w:rPr>
          <w:i/>
        </w:rPr>
        <w:t xml:space="preserve">64 - Prihodi od imovine </w:t>
      </w:r>
      <w:r>
        <w:t>za 26,4 % u odnosu na izvještajno razdoblje prethodne godine i to zbog smanjenja prihoda od zakupa i iznajmljivanja imovine, a smanjenje je rezultat smanjenih prihoda od iznajmljivanja kadrovskih stanova liječnicima.</w:t>
      </w:r>
    </w:p>
    <w:p w:rsidR="00283B5B" w:rsidRDefault="000A3176">
      <w:r>
        <w:t> 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1.043.015,26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941.226,54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90,2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U izvještajnom razdoblju tekuće godine na šifri </w:t>
      </w:r>
      <w:r>
        <w:rPr>
          <w:i/>
        </w:rPr>
        <w:t>65- Prihodi od upravnih i administrativnih pristojbi, pristojbi po posebnim propisima i naknada</w:t>
      </w:r>
      <w:r>
        <w:t xml:space="preserve"> ostvareni su prihodi u iznosu od 941.226,54 eura što je u odnosu na </w:t>
      </w:r>
      <w:proofErr w:type="spellStart"/>
      <w:r>
        <w:t>ostarenje</w:t>
      </w:r>
      <w:proofErr w:type="spellEnd"/>
      <w:r>
        <w:t xml:space="preserve"> u izvještajnom razdoblju prethodne godine smanjenje za 9,8 %, odnosno za 101.788,72 eura, a istovremeno je zabilježeno povećanje potraživanja od Hrvatskog zavoda za zdravstveno osiguranje za račune za dopunsko zdravstveno osiguranje za 28,2 %, odnosno za 162.269,95 eura.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227.824,31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265.781,76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:rsidR="00283B5B" w:rsidRDefault="00283B5B">
      <w:pPr>
        <w:spacing w:after="0"/>
      </w:pPr>
    </w:p>
    <w:p w:rsidR="00283B5B" w:rsidRDefault="000A3176">
      <w:r>
        <w:t xml:space="preserve">Na šifri </w:t>
      </w:r>
      <w:r>
        <w:rPr>
          <w:i/>
        </w:rPr>
        <w:t xml:space="preserve">66 - Prihodi od prodaje proizvoda i robe te pruženih usluga, prihodi od donacija te povrati po protestiranim jamstvima </w:t>
      </w:r>
      <w:r>
        <w:t xml:space="preserve">u izvještajnom razdoblju tekuće godine zabilježeno je povećanje prihoda za 16,7 % u odnosu na izvještajno razdoblje prethodne godine. Povećanje je zabilježeno na šifri </w:t>
      </w:r>
      <w:r>
        <w:rPr>
          <w:i/>
        </w:rPr>
        <w:t>661 -Prihodi od prodaje proizvoda i robe te pruženih usluga</w:t>
      </w:r>
      <w:r>
        <w:t xml:space="preserve">  za 14,6 % zbog više naplaćenih računa za pružene usluge i na šifri </w:t>
      </w:r>
      <w:r>
        <w:rPr>
          <w:i/>
        </w:rPr>
        <w:t xml:space="preserve">663 -  Donacije od pravnih i fizičkih osoba izvan općeg proračuna te povrat donacija i kapitalnih pomoći po protestiranim jamstvima </w:t>
      </w:r>
      <w:r>
        <w:t>za 59 % zbog više primljenih donacija. 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616.029,81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1.949.364,39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316,4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Na šifri </w:t>
      </w:r>
      <w:r>
        <w:rPr>
          <w:i/>
        </w:rPr>
        <w:t>671 - Prihodi iz nadležnog proračuna za financiranje redovne djelatnosti proračunskih korisnika</w:t>
      </w:r>
      <w:r>
        <w:t xml:space="preserve"> u </w:t>
      </w:r>
      <w:proofErr w:type="spellStart"/>
      <w:r>
        <w:t>ostavenom</w:t>
      </w:r>
      <w:proofErr w:type="spellEnd"/>
      <w:r>
        <w:t xml:space="preserve"> razdoblju tekuće godine </w:t>
      </w:r>
      <w:proofErr w:type="spellStart"/>
      <w:r>
        <w:t>ostvarni</w:t>
      </w:r>
      <w:proofErr w:type="spellEnd"/>
      <w:r>
        <w:t xml:space="preserve"> su prihodi u iznosu od 1.949.364,39 eura što je u odnosu na izvještajno razdoblje prethodne godine značajno povećanje. Značajno povećanje zabilježeno na šifri </w:t>
      </w:r>
      <w:r>
        <w:rPr>
          <w:i/>
        </w:rPr>
        <w:t>6711 - Prihodi iz nadležnog proračuna za financiranje rashoda poslovanja</w:t>
      </w:r>
      <w:r>
        <w:t xml:space="preserve"> u najvećem je dijelu rezultat više primljenih sredstava </w:t>
      </w:r>
      <w:r>
        <w:lastRenderedPageBreak/>
        <w:t xml:space="preserve">temeljem dvije Odluke o isplati namjenske pomoći za podmirenje dijela dospjelih obveza bolničkih zdravstvenih usluga kojima je osnivač Republika Hrvatska i kojima su osnivači županije prema dobavljačima lijekova, potrošnog i </w:t>
      </w:r>
      <w:proofErr w:type="spellStart"/>
      <w:r>
        <w:t>ugradbenog</w:t>
      </w:r>
      <w:proofErr w:type="spellEnd"/>
      <w:r>
        <w:t xml:space="preserve"> medicinskog materijala u iznosu od 1.094.344,00 eura, ali i primljenih sredstvima za podmirenje obveza za premije osiguranja u 2025. godini u iznosu od 125.892,00 eura i primljenih sredstvima temeljem Ugovora o dodjeli bespovratnih sredstava "Specijalističko usavršavanje medicinskih sestara i tehničara u djelatnosti hitne medicine, NPOO.C5.1.R3-I2.01.0090 u iznosu od 54.253,84 eura. Zabilježeno je i povećanje na šifri </w:t>
      </w:r>
      <w:r>
        <w:rPr>
          <w:i/>
        </w:rPr>
        <w:t>6712 - Prihodi iz nadležnog proračuna za financiranje rashoda za nabavu nefinancijske imovine za 12,5%,</w:t>
      </w:r>
      <w:r>
        <w:t xml:space="preserve"> a odnosi se na više primljena sredstva za kapitalna ulaganja.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9.531.575,15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11.153.488,97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Na šifri </w:t>
      </w:r>
      <w:r>
        <w:rPr>
          <w:i/>
        </w:rPr>
        <w:t xml:space="preserve">31 - Rashodi za zaposlene </w:t>
      </w:r>
      <w:r>
        <w:t xml:space="preserve">zabilježeno je </w:t>
      </w:r>
      <w:proofErr w:type="spellStart"/>
      <w:r>
        <w:t>je</w:t>
      </w:r>
      <w:proofErr w:type="spellEnd"/>
      <w:r>
        <w:t xml:space="preserve"> povećanje rashoda u izvještajnom razdoblju tekuće godine za 17 % u odnosu na izvještajno razdoblje prethodne godine. Povećanje je u jednom dijelu rezultat povećanja plaća djelatnicima u javnim službama temeljem Zakona o plaćama u državnoj službi i javnim službama ( Narodne novine 155/2023), Uredbe o nazivima radnih mjesta, uvjetima za raspored i koeficijentima za obračun plaće ( Narodne novine 22/2024 ) te povećanju osnovice za obračun plaće u javnim službama u 2025. godini,  ali i zbog primjene novog Pravilnika o proračunskom računovodstvu i računskom planu temeljem kojeg se ( članak 233. Pravilnika o proračunskom računovodstvu i računskom planu ) ukida podskupina 193 Kontinuirani rashodi budućih razdoblja te se isti prenose na odgovarajuće račune rashoda 3 Rashoda poslovanja s danom 1. siječnja 2025.godine.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2.434.730,31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853.246,41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35,0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Na šifri </w:t>
      </w:r>
      <w:r>
        <w:rPr>
          <w:i/>
        </w:rPr>
        <w:t>322 - Rashodi za materijal i energiju</w:t>
      </w:r>
      <w:r>
        <w:t xml:space="preserve"> zabilježeno je smanjenje rashoda za 65 % , a smanjenje je rezultat primjene novog Pravilnika o proračunskom računovodstvu i računskom planu temeljem kojeg se rashodi za lijekove, </w:t>
      </w:r>
      <w:proofErr w:type="spellStart"/>
      <w:r>
        <w:t>ugradbeni</w:t>
      </w:r>
      <w:proofErr w:type="spellEnd"/>
      <w:r>
        <w:t xml:space="preserve"> i potrošni medicinski materijal ne iskazuje više na u okviri podskupine </w:t>
      </w:r>
      <w:r>
        <w:rPr>
          <w:i/>
        </w:rPr>
        <w:t>322 -Rashodi za materijal i energiju</w:t>
      </w:r>
      <w:r>
        <w:t xml:space="preserve">  već u okviru nove podskupine </w:t>
      </w:r>
      <w:r>
        <w:rPr>
          <w:i/>
        </w:rPr>
        <w:t xml:space="preserve">325 - Rashodi lijekova i potrošnog medicinskog materijala kod zdravstvenih </w:t>
      </w:r>
      <w:r>
        <w:rPr>
          <w:i/>
        </w:rPr>
        <w:lastRenderedPageBreak/>
        <w:t xml:space="preserve">ustanova. </w:t>
      </w:r>
      <w:r>
        <w:t xml:space="preserve">Ako bi iz izvještajnog razdoblja prethodne godine izuzeli rashode koji u izvještajnom razdoblju tekuće godine ne spadaju pod šifru </w:t>
      </w:r>
      <w:r>
        <w:rPr>
          <w:i/>
        </w:rPr>
        <w:t>322 - Rashodi za materijal i energiju</w:t>
      </w:r>
      <w:r>
        <w:t xml:space="preserve"> povećanje istih bi iznosilo 2 % u odnosu na izvještajno razdoblje tekuće godine.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2.669.803,85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3.403.095,98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>Na šifri</w:t>
      </w:r>
      <w:r>
        <w:rPr>
          <w:i/>
        </w:rPr>
        <w:t>323 - Rashodi za usluge</w:t>
      </w:r>
      <w:r>
        <w:t xml:space="preserve"> zabilježeno je povećanje u izvještajnom razdoblju tekuće godine za 27,5 % u odnosu na izvještajno razdoblje prethodne godine. Povećanje je u najvećem dijelu rezultat povećanja cijena za pružene usluge temeljem sklopljenih ugovora. Povećanje je u jednom dijelu i rezultat rashoda iskazanih na šifri </w:t>
      </w:r>
      <w:r>
        <w:rPr>
          <w:i/>
        </w:rPr>
        <w:t>3237 - Intelektualne i osobne usluge</w:t>
      </w:r>
      <w:r>
        <w:t xml:space="preserve"> gdje su iskazani i rashodi za ranije spomenuti projekt „Izgradnja građevine javne namjene, društvena namjena-zdravstvena i garaža za potrebe bolnice“ , prema ugovoru broj C2.1.R2.I1.01.120 u iznosu 111.566,50 eura za koji su prihodi evidentirani na šifri</w:t>
      </w:r>
      <w:r>
        <w:rPr>
          <w:i/>
        </w:rPr>
        <w:t>6393 -Tekući prijenosi između proračunskih korisnika istog proračuna temeljem prijenosa EU sredstava</w:t>
      </w:r>
      <w:r>
        <w:t>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83.232,14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193.621,74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232,6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Na šifri </w:t>
      </w:r>
      <w:r>
        <w:rPr>
          <w:i/>
        </w:rPr>
        <w:t>329 - Ostali nespomenuti rashodi poslovanja</w:t>
      </w:r>
      <w:r>
        <w:t xml:space="preserve"> zabilježeno je značajno povećanje rashoda u izvještajnom razdoblju tekuće godine u odnosu na izvještajno razdoblje prethodne godine. Povećanje je u najvećem dijelu rezultat povećanih rashoda za premije osiguranja iskazanih na šifri </w:t>
      </w:r>
      <w:r>
        <w:rPr>
          <w:i/>
        </w:rPr>
        <w:t xml:space="preserve">3292 - Premije osiguranja. </w:t>
      </w:r>
      <w:r>
        <w:t>Rashodi za premije osiguranja u 2024. godini iznosili su 33.809,80 eura dok su u 2025. godini iznosili 129.065,41 eura.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112.892,41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14.029,32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12,4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lastRenderedPageBreak/>
        <w:t xml:space="preserve">Na šifri </w:t>
      </w:r>
      <w:r>
        <w:rPr>
          <w:i/>
        </w:rPr>
        <w:t>38 - Rashodi za donacije, kazne, naknade šteta i kapitalne pomoći</w:t>
      </w:r>
      <w:r>
        <w:t xml:space="preserve"> zabilježeno je smanjenje od 87,6 % u izvještajnom razdoblju tekuće godine u odnosu na izvještajno razdoblje prethodne godine. Na šifri</w:t>
      </w:r>
      <w:r>
        <w:rPr>
          <w:i/>
        </w:rPr>
        <w:t xml:space="preserve">3834 - Ugovorene kazne i ostale naknade šteta </w:t>
      </w:r>
      <w:r>
        <w:t>iskazani su rashodi temeljem Odluke o povratu br. 1 za ugovor KK.08.1.2.03.0026, „ Uspostava i poboljšanje uvjeta dnevne bolnice i jednodnevne kirurgije Opće bolnice Gospić“, Opća bolnica Gospić, Operativni program Konkurentnost i kohezija 2014.-2020., Prioritetna os 9, Specifični cilj 10a3.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991.299,33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2.856.710,81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288,2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Na šifri </w:t>
      </w:r>
      <w:r>
        <w:rPr>
          <w:i/>
        </w:rPr>
        <w:t>4 - Rashodi za nabavu nefinancijske imovine</w:t>
      </w:r>
      <w:r>
        <w:t xml:space="preserve"> zabilježeno je značajno povećanje rashoda u izvještajnom razdoblju tekuće godine u odnosu na izvještajno razdoblje prethodne godine. Rezultat ovako značajnog povećanja je u najvećem dijelu ranije spomenuta nabavka novog </w:t>
      </w:r>
      <w:proofErr w:type="spellStart"/>
      <w:r>
        <w:t>multislojnog</w:t>
      </w:r>
      <w:proofErr w:type="spellEnd"/>
      <w:r>
        <w:t xml:space="preserve"> kompjuteriziranog </w:t>
      </w:r>
      <w:proofErr w:type="spellStart"/>
      <w:r>
        <w:t>tomografa</w:t>
      </w:r>
      <w:proofErr w:type="spellEnd"/>
      <w:r>
        <w:t xml:space="preserve"> ( MSCT)  u vrijednosti 731.250,00 eura i nabavke novog uređaja za magnetsku rezonanciju u vrijednosti 1.200.750,00 eura, dakle ukupne vrijednosti 1.932.000, 00 eura iskazanih na šifri </w:t>
      </w:r>
      <w:r>
        <w:rPr>
          <w:i/>
        </w:rPr>
        <w:t>4224 - Medicinska i laboratorijska oprema</w:t>
      </w:r>
      <w:r>
        <w:t xml:space="preserve"> koji će se financirati sredstvima Ministarstva zdravstva. Povećanje je u jednom dijelu i rezultat povećanog planiranog iznosa za kapitalna ulaganja u 2026. godini od strane Ministarstva zdravstva.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9.854.761,59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12.157.283,31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Na dan 31.prosinca 2025.godine zabilježeno je stanje nefinancijske imovine u iznosu od 12.157.283,31 euro što je povećanje u odnosu na stanje 01.siječnja 2025.godine za 23,4 %. Najznačajnije povećanje odnosi se na povećanje na šifri </w:t>
      </w:r>
      <w:r>
        <w:rPr>
          <w:i/>
        </w:rPr>
        <w:t>0224 - Medicinska i laboratorijska oprema</w:t>
      </w:r>
      <w:r>
        <w:t xml:space="preserve"> zbog ranije spomenute nabavke novih medicinskih uređaja.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za obavljanje djelatnosti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45.410,41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40.910,57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90,1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Na šifri </w:t>
      </w:r>
      <w:r>
        <w:rPr>
          <w:i/>
        </w:rPr>
        <w:t>061 - Zalihe za obavljanje djelatnosti</w:t>
      </w:r>
      <w:r>
        <w:t xml:space="preserve"> zabilježeno je smanjenje zaliha na dan 31.prosinca 2025.godine za 9,</w:t>
      </w:r>
      <w:proofErr w:type="spellStart"/>
      <w:r>
        <w:t>9</w:t>
      </w:r>
      <w:proofErr w:type="spellEnd"/>
      <w:r>
        <w:t xml:space="preserve"> % u odnosu na stanje 1. siječnja 2025. godine. Smanjenje je u najvećem dijelu rezultat smanjenja zaliha loživog ulja, obzirom da se bolnica u 2025. godini počela grijati na zemni plin.</w:t>
      </w:r>
    </w:p>
    <w:p w:rsidR="00283B5B" w:rsidRDefault="000A3176">
      <w:pPr>
        <w:jc w:val="both"/>
      </w:pPr>
      <w:r>
        <w:t xml:space="preserve">Bitno je naglasiti da su zdravstvene ustanove zalihe lijekova i potrošnog medicinskog materijala do kraja 2024. evidentirale u okviru podskupine </w:t>
      </w:r>
      <w:r>
        <w:rPr>
          <w:i/>
        </w:rPr>
        <w:t>061 -  Zalihe za obavljanje djelatnosti</w:t>
      </w:r>
      <w:r>
        <w:t xml:space="preserve">. Od 1. siječnja 2025. zdravstvene ustanove nabavu lijekova i potrošnog medicinskog materijala evidentiraju u okviru novootvorene podskupine računa </w:t>
      </w:r>
      <w:r>
        <w:rPr>
          <w:i/>
        </w:rPr>
        <w:t>065 - Zalihe lijekova i potrošnog medicinskog materijala kod zdravstvenih ustanova</w:t>
      </w:r>
      <w:r>
        <w:t>.</w:t>
      </w:r>
    </w:p>
    <w:p w:rsidR="00283B5B" w:rsidRDefault="000A3176">
      <w:pPr>
        <w:jc w:val="both"/>
      </w:pPr>
      <w:r>
        <w:t>Okružnicom o sastavljanju, konsolidaciji i predaji financijskih izvještaja proračuna, proračunskih i izvanproračunskih korisnika državnog proračuna te proračunskih i izvanproračunskih korisnika proračuna jedinica lokalne i područne (regionalne) samouprave za razdoblje od 1. siječnja do 31. prosinca 2024. i druge aktualnosti (KLASA: 400-02/24-01/19, URBROJ: 513-05-03-25-4) u poglavlju IX. dana je, između ostalog, i uputa prema kojoj su zdravstvene ustanove bile obvezne s danom 1. siječnja 2025. zalihe lijekova i potrošnog medicinskog materijala prenijeti s osnovnog računa 06139 Zalihe ostalih materijala za redovne potrebe (na kojem su se do kraja 2024. vodile zalihe lijekova i potrošnog medicinskog materijala) na odgovarajuće osnovne račune u odjeljku 0651 Zalihe lijekova kod zdravstvenih ustanova odnosno 0652 Zalihe potrošnog medicinskog materijala kod zdravstvenih ustanova.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lijekova i potrošnog medicinskog materijala kod zdravstvenih ustanova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43.077,93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238.978,41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554,8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Kao što je ranije u Bilješkama spomenuto,  od 1. siječnja 2025. zdravstvene ustanove nabavu lijekova i potrošnog medicinskog materijala evidentiraju u okviru novootvorene podskupine računa </w:t>
      </w:r>
      <w:r>
        <w:rPr>
          <w:i/>
        </w:rPr>
        <w:t xml:space="preserve">065 - Zalihe lijekova i potrošnog medicinskog materijala kod zdravstvenih ustanova </w:t>
      </w:r>
      <w:r>
        <w:t>zbog</w:t>
      </w:r>
      <w:r>
        <w:rPr>
          <w:i/>
        </w:rPr>
        <w:t xml:space="preserve"> </w:t>
      </w:r>
      <w:r>
        <w:t xml:space="preserve"> primjene novog Pravilnika o proračunskom računovodstvu i računskom planu.  Zdravstvene ustanove su zalihe lijekova i potrošnog medicinskog materijala do kraja 2024. evidentirale u okviru podskupine </w:t>
      </w:r>
      <w:r>
        <w:rPr>
          <w:i/>
        </w:rPr>
        <w:t>061 - Zalihe za obavljanje djelatnosti.</w:t>
      </w:r>
      <w:r>
        <w:t xml:space="preserve">  </w:t>
      </w:r>
    </w:p>
    <w:p w:rsidR="00283B5B" w:rsidRDefault="000A3176">
      <w:pPr>
        <w:jc w:val="both"/>
      </w:pPr>
      <w:r>
        <w:lastRenderedPageBreak/>
        <w:t xml:space="preserve">Povećanje zabilježeno na šifri </w:t>
      </w:r>
      <w:r>
        <w:rPr>
          <w:i/>
        </w:rPr>
        <w:t>065 - Zalihe lijekova i potrošnog medicinskog materijala kod zdravstvenih ustanova</w:t>
      </w:r>
      <w:r>
        <w:t xml:space="preserve"> rezultat je uknjiženih zaliha ne samo u Bolničkoj ljekarni već i zaliha po radilištima.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1.119.633,06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597.526,75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53,4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Na šifri </w:t>
      </w:r>
      <w:r>
        <w:rPr>
          <w:i/>
        </w:rPr>
        <w:t>1 - Financijska imovina</w:t>
      </w:r>
      <w:r>
        <w:t xml:space="preserve"> zabilježeno je smanjenje stanja na dan 31.12.2025. godine za 46,6 % u odnosu na stanje na dan 1. siječnja 2025. godine. Rezultat smanjenja su odredbe novog Pravilnika o proračunskom računovodstvu i Računskom planu, kojim je u članku 233. propisano je da se s danom 1. siječnja 2025. ukida podskupina računa</w:t>
      </w:r>
      <w:r>
        <w:rPr>
          <w:i/>
        </w:rPr>
        <w:t xml:space="preserve">193 - Kontinuirani rashodi budućih razdoblja </w:t>
      </w:r>
      <w:r>
        <w:t>kao što je i ranije u Bilješkama navedeno</w:t>
      </w:r>
      <w:r>
        <w:rPr>
          <w:i/>
        </w:rPr>
        <w:t xml:space="preserve">. </w:t>
      </w:r>
      <w:r>
        <w:t xml:space="preserve">Iznos na šifri </w:t>
      </w:r>
      <w:r>
        <w:rPr>
          <w:i/>
        </w:rPr>
        <w:t>193</w:t>
      </w:r>
      <w:r>
        <w:t xml:space="preserve"> - </w:t>
      </w:r>
      <w:r>
        <w:rPr>
          <w:i/>
        </w:rPr>
        <w:t xml:space="preserve">Kontinuirani rashodi budućih razdoblja </w:t>
      </w:r>
      <w:r>
        <w:t xml:space="preserve">na dan 1. siječnja 2025. godine iznosio je 800.012,90 eura pa kad bi taj iznos umanjili iz šifre </w:t>
      </w:r>
      <w:r>
        <w:rPr>
          <w:i/>
        </w:rPr>
        <w:t>1 - Financijska imovina</w:t>
      </w:r>
      <w:r>
        <w:t>, stanje na dan 1 .siječnja 2025. godine iznosilo bi 319.620,16 eura te bio se vidjelo realno povećanje na dan 31.prosinca 2025. godine za 46 % u odnosu na stanje 1. siječnja 2025. godine. </w:t>
      </w:r>
    </w:p>
    <w:p w:rsidR="00283B5B" w:rsidRDefault="000A3176">
      <w:pPr>
        <w:jc w:val="both"/>
      </w:pPr>
      <w:r>
        <w:t xml:space="preserve">Povećanje je vidljivo na šifri </w:t>
      </w:r>
      <w:r>
        <w:rPr>
          <w:i/>
        </w:rPr>
        <w:t>16 - Potraživanja za prihode poslovanja</w:t>
      </w:r>
      <w:r>
        <w:t xml:space="preserve">   koji na dan 31. prosinca 2025. godine iznose 552.783,94 eura i povećani su za 285.237,22 eura u odnosu na stanje od 1. siječnja 2025.godine. Povećanje je rezultat povećane fakturne realizacije i povećanih potraživanja na dan 31. prosinca 2025. godine od Hrvatskog zavoda za zdravstveno osiguranje i povećanih potraživanja od ostalih korisnika usluga.</w:t>
      </w:r>
    </w:p>
    <w:p w:rsidR="00283B5B" w:rsidRDefault="000A3176">
      <w:pPr>
        <w:jc w:val="both"/>
      </w:pPr>
      <w:r>
        <w:t> 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16.110.550,20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22.992.667,77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:rsidR="00283B5B" w:rsidRDefault="00283B5B">
      <w:pPr>
        <w:spacing w:after="0"/>
      </w:pPr>
    </w:p>
    <w:p w:rsidR="00283B5B" w:rsidRDefault="000A3176">
      <w:r>
        <w:t xml:space="preserve">Na šifri </w:t>
      </w:r>
      <w:r>
        <w:rPr>
          <w:i/>
        </w:rPr>
        <w:t>2 - Obveze,</w:t>
      </w:r>
      <w:r>
        <w:t xml:space="preserve"> iskazano je stanje obveza na dan 31. prosinca 2025. godine koje iznosi 22.992.667,77 eura i stanje obveza je povećano za 42,7 % u odnosu na stanje na dan 1. siječnja 2025. godine, odnosno za 6.882.117,57 eura. </w:t>
      </w:r>
    </w:p>
    <w:p w:rsidR="00283B5B" w:rsidRDefault="000A3176">
      <w:r>
        <w:t xml:space="preserve">Povećanje obveza u najvećem dijelu je rezultat povećanja obveza za manje izvršeni rad prema Hrvatskom zavodu za zdravstveno osiguranje koje iznosi 4.549.056,88 eura ( </w:t>
      </w:r>
      <w:r>
        <w:rPr>
          <w:i/>
        </w:rPr>
        <w:t xml:space="preserve">dio šifre 27 - Obveze za predujmove, depozite, </w:t>
      </w:r>
      <w:proofErr w:type="spellStart"/>
      <w:r>
        <w:rPr>
          <w:i/>
        </w:rPr>
        <w:t>jamčevne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pologe</w:t>
      </w:r>
      <w:proofErr w:type="spellEnd"/>
      <w:r>
        <w:rPr>
          <w:i/>
        </w:rPr>
        <w:t xml:space="preserve"> i tuđe prihode</w:t>
      </w:r>
      <w:r>
        <w:t xml:space="preserve"> ), a rezultat povećanja je i </w:t>
      </w:r>
      <w:r>
        <w:lastRenderedPageBreak/>
        <w:t xml:space="preserve">povećanje iskazano na šifri </w:t>
      </w:r>
      <w:r>
        <w:rPr>
          <w:i/>
        </w:rPr>
        <w:t>24 - Obveze za nabavu nefinancijske imovine</w:t>
      </w:r>
      <w:r>
        <w:t xml:space="preserve"> obzirom na neplaćene račune za ranije spomenute nove medicinske uređaje ( MSCT i MR ) koji će biti plaćeni u 2026.godini sredstvima Ministarstva zdravstva u iznosu od 1.932.000, 00 eura.</w:t>
      </w:r>
    </w:p>
    <w:p w:rsidR="00283B5B" w:rsidRDefault="000A3176">
      <w:pPr>
        <w:jc w:val="both"/>
      </w:pPr>
      <w:r>
        <w:t xml:space="preserve">Novim Pravilnikom o proračunskom računovodstvu i računskom planu iz odjeljka  </w:t>
      </w:r>
      <w:r>
        <w:rPr>
          <w:i/>
        </w:rPr>
        <w:t>2395 -  Ostale nespomenute obveze</w:t>
      </w:r>
      <w:r>
        <w:t xml:space="preserve"> iz prethodno važećeg Računskog plana preneseni su osnovni računi za praćenje predujmova, depozita, </w:t>
      </w:r>
      <w:proofErr w:type="spellStart"/>
      <w:r>
        <w:t>jamčevnih</w:t>
      </w:r>
      <w:proofErr w:type="spellEnd"/>
      <w:r>
        <w:t xml:space="preserve"> pologa i tuđih prihoda u novu skupinu računa </w:t>
      </w:r>
      <w:r>
        <w:rPr>
          <w:i/>
        </w:rPr>
        <w:t xml:space="preserve">27 - Obveze za predujmove, depozite, </w:t>
      </w:r>
      <w:proofErr w:type="spellStart"/>
      <w:r>
        <w:rPr>
          <w:i/>
        </w:rPr>
        <w:t>jamčevne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pologe</w:t>
      </w:r>
      <w:proofErr w:type="spellEnd"/>
      <w:r>
        <w:rPr>
          <w:i/>
        </w:rPr>
        <w:t xml:space="preserve"> i tuđe prihode</w:t>
      </w:r>
      <w:r>
        <w:t xml:space="preserve">. U okviru odjeljka 2395 ostao je samo jedan osnovni račun i to </w:t>
      </w:r>
      <w:r>
        <w:rPr>
          <w:i/>
        </w:rPr>
        <w:t>23954 - Ostale nespomenute obveze.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(=0)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83B5B" w:rsidRDefault="00283B5B">
      <w:pPr>
        <w:spacing w:after="0"/>
      </w:pPr>
    </w:p>
    <w:p w:rsidR="00283B5B" w:rsidRDefault="000A3176">
      <w:r>
        <w:t>U skladu s Pravilnikom o financijskom izvještavanju u proračunskom računovodstvu obvezni dio Bilješki uz Bilancu su i popis ugovornih odnosa i slično koji uz ispunjenje određenih uvjeta, mogu postati obveza ili imovina (dana kreditna pisma, hipoteke i slično) i popis sudskih sporova u tijeku.</w:t>
      </w:r>
    </w:p>
    <w:p w:rsidR="000A3176" w:rsidRDefault="000A3176"/>
    <w:p w:rsidR="00283B5B" w:rsidRDefault="000A3176">
      <w:r>
        <w:t>Popis sudskih sporova u tijeku – Opća bolnica Gospić tužitelj:</w:t>
      </w:r>
    </w:p>
    <w:p w:rsidR="000A3176" w:rsidRDefault="000A3176">
      <w:r w:rsidRPr="000A3176">
        <w:rPr>
          <w:noProof/>
        </w:rPr>
        <w:drawing>
          <wp:inline distT="0" distB="0" distL="0" distR="0" wp14:anchorId="56E8B0A7" wp14:editId="37CDE63D">
            <wp:extent cx="5762625" cy="12668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176" w:rsidRDefault="000A3176"/>
    <w:p w:rsidR="000A3176" w:rsidRDefault="000A3176"/>
    <w:p w:rsidR="000A3176" w:rsidRDefault="000A3176"/>
    <w:p w:rsidR="000A3176" w:rsidRDefault="000A3176"/>
    <w:p w:rsidR="000A3176" w:rsidRDefault="000A3176"/>
    <w:p w:rsidR="000A3176" w:rsidRDefault="000A3176"/>
    <w:p w:rsidR="000A3176" w:rsidRDefault="000A3176"/>
    <w:p w:rsidR="00283B5B" w:rsidRDefault="000A3176">
      <w:r>
        <w:lastRenderedPageBreak/>
        <w:t>Popis sudskih sporova u tijeku – Opća bolnica Gospić tuženik</w:t>
      </w:r>
    </w:p>
    <w:p w:rsidR="000A3176" w:rsidRDefault="000A3176">
      <w:r w:rsidRPr="000A3176">
        <w:rPr>
          <w:noProof/>
        </w:rPr>
        <w:drawing>
          <wp:inline distT="0" distB="0" distL="0" distR="0" wp14:anchorId="784F1A07" wp14:editId="0DA66B91">
            <wp:extent cx="5762625" cy="38766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176" w:rsidRDefault="000A3176"/>
    <w:p w:rsidR="00283B5B" w:rsidRDefault="000A3176">
      <w:r>
        <w:t> Preuzete obveze po ugovorima o nabavi roba, radova i usluga : </w:t>
      </w:r>
    </w:p>
    <w:p w:rsidR="000A3176" w:rsidRDefault="000A3176">
      <w:r w:rsidRPr="000A3176">
        <w:rPr>
          <w:noProof/>
        </w:rPr>
        <w:drawing>
          <wp:inline distT="0" distB="0" distL="0" distR="0" wp14:anchorId="18091A8F" wp14:editId="304CAF86">
            <wp:extent cx="5762625" cy="36957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B5B" w:rsidRDefault="000A3176">
      <w:r>
        <w:lastRenderedPageBreak/>
        <w:t>Preuzete obveze po ugovorima o dodjeli bespovratnih sredstava iz EU fondova:</w:t>
      </w:r>
    </w:p>
    <w:p w:rsidR="0028430F" w:rsidRDefault="0028430F">
      <w:r w:rsidRPr="0028430F">
        <w:rPr>
          <w:noProof/>
        </w:rPr>
        <w:drawing>
          <wp:inline distT="0" distB="0" distL="0" distR="0" wp14:anchorId="75215A51" wp14:editId="1B92CC1D">
            <wp:extent cx="5762625" cy="197167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0F" w:rsidRDefault="0028430F"/>
    <w:p w:rsidR="00283B5B" w:rsidRDefault="000A3176">
      <w:r>
        <w:t>Instrumenti osiguranja plaćanja:</w:t>
      </w:r>
    </w:p>
    <w:p w:rsidR="00283B5B" w:rsidRDefault="0028430F">
      <w:r w:rsidRPr="0028430F">
        <w:rPr>
          <w:noProof/>
        </w:rPr>
        <w:drawing>
          <wp:inline distT="0" distB="0" distL="0" distR="0" wp14:anchorId="18B3E27C" wp14:editId="48047C26">
            <wp:extent cx="5760720" cy="4609954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176">
        <w:t> 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815.597,25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t xml:space="preserve">Sukladno čl.17. Pravilnika o financijskom izvještavanju u proračunskom računovodstvu u nastavku se objašnjavaju značajnije promjene u vrijednosti i obujmu imovine i obveza. Na šifri </w:t>
      </w:r>
      <w:r>
        <w:rPr>
          <w:i/>
        </w:rPr>
        <w:t xml:space="preserve">P002 - </w:t>
      </w:r>
      <w:proofErr w:type="spellStart"/>
      <w:r>
        <w:rPr>
          <w:i/>
        </w:rPr>
        <w:t>Neproizvedena</w:t>
      </w:r>
      <w:proofErr w:type="spellEnd"/>
      <w:r>
        <w:rPr>
          <w:i/>
        </w:rPr>
        <w:t xml:space="preserve"> dugotrajna imovina </w:t>
      </w:r>
      <w:r>
        <w:t xml:space="preserve">iskazane su vrijednosti ispravka vrijednosti imovine koji iznosi 744.305,04 eura, a na šifri </w:t>
      </w:r>
      <w:r>
        <w:rPr>
          <w:i/>
        </w:rPr>
        <w:t>P014 - Potraživanja za prihode poslovanja</w:t>
      </w:r>
      <w:r>
        <w:t xml:space="preserve"> iskazane su vrijednosti otpisa potraživanja zbog nemogućnosti naplate iz prethodnih godina u iznosu 67.525,70 eura. 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283B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22.980.933,87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83B5B" w:rsidRDefault="00283B5B">
      <w:pPr>
        <w:spacing w:after="0"/>
      </w:pPr>
    </w:p>
    <w:p w:rsidR="00283B5B" w:rsidRDefault="000A3176">
      <w:r>
        <w:t>Na šifri V006 - Stanje obveza na kraju izvještajnog razdoblja iskazano je stanje obveza na dan 31. prosinca 2025. godine koje iznosi 22.992.667,77 eura i stanje obveza je povećano za 42,7 % u odnosu na stanje na dan 1. siječnja 2025. godine, odnosno za 6.882.117,57 eura. </w:t>
      </w:r>
    </w:p>
    <w:p w:rsidR="00283B5B" w:rsidRDefault="000A3176">
      <w:r>
        <w:t xml:space="preserve">Povećanje obveza u najvećem dijelu je rezultat povećanja obveza za manje izvršeni rad prema Hrvatskom zavodu za zdravstveno osiguranje koje iznosi 4.549.056,88 eura ( dio šifre 27 -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), a rezultat povećanja je i povećanje iskazano na šifri 24 - Obveze za nabavu nefinancijske imovine obzirom na neplaćene račune za ranije spomenute nove medicinske uređaje ( MSCT i MR ) koji će biti plaćeni u 2026.godini sredstvima Ministarstva zdravstva u iznosu od 1.932.000, 00 eura.</w:t>
      </w:r>
    </w:p>
    <w:p w:rsidR="00283B5B" w:rsidRDefault="000A3176">
      <w:r>
        <w:t> </w:t>
      </w:r>
    </w:p>
    <w:p w:rsidR="00283B5B" w:rsidRDefault="00283B5B"/>
    <w:p w:rsidR="00283B5B" w:rsidRDefault="000A317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83B5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3B5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283B5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1.357.795,10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83B5B" w:rsidRDefault="000A317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83B5B" w:rsidRDefault="00283B5B">
      <w:pPr>
        <w:spacing w:after="0"/>
      </w:pPr>
    </w:p>
    <w:p w:rsidR="00283B5B" w:rsidRDefault="000A3176">
      <w:pPr>
        <w:jc w:val="both"/>
      </w:pPr>
      <w:r>
        <w:lastRenderedPageBreak/>
        <w:t xml:space="preserve">Na šifri </w:t>
      </w:r>
      <w:r>
        <w:rPr>
          <w:i/>
        </w:rPr>
        <w:t>V007 - Stanje dospjelih obveza na kraju izvještajnog razdoblja</w:t>
      </w:r>
      <w:r>
        <w:t xml:space="preserve"> iskazano je stanje dospjelih obveza na dan 31. prosinca 2025. godine i iznosi 1.357.795,10 eura.  Povećanje dospjelih obveza rezultat je povećanog obima posla u 2025. godini kao i porasta </w:t>
      </w:r>
      <w:proofErr w:type="spellStart"/>
      <w:r>
        <w:t>cijana</w:t>
      </w:r>
      <w:proofErr w:type="spellEnd"/>
      <w:r>
        <w:t xml:space="preserve"> na tržištu, a najveći dio dospjelih obveza čine obveze za lijekove, potrošni i </w:t>
      </w:r>
      <w:proofErr w:type="spellStart"/>
      <w:r>
        <w:t>ugradbeni</w:t>
      </w:r>
      <w:proofErr w:type="spellEnd"/>
      <w:r>
        <w:t xml:space="preserve"> medicinski materijal te one same iznose 733.643,38 eura, odnosno, 54 % svih dospjelih obveza. </w:t>
      </w:r>
    </w:p>
    <w:p w:rsidR="00817F4B" w:rsidRDefault="00817F4B" w:rsidP="00817F4B"/>
    <w:p w:rsidR="00817F4B" w:rsidRDefault="00817F4B" w:rsidP="00817F4B">
      <w:pPr>
        <w:keepNext/>
        <w:spacing w:line="240" w:lineRule="auto"/>
        <w:jc w:val="center"/>
      </w:pPr>
      <w:r>
        <w:rPr>
          <w:sz w:val="28"/>
        </w:rPr>
        <w:t>Bilješka 24.</w:t>
      </w:r>
    </w:p>
    <w:p w:rsidR="00817F4B" w:rsidRDefault="00817F4B" w:rsidP="00817F4B">
      <w:pPr>
        <w:spacing w:line="240" w:lineRule="auto"/>
        <w:jc w:val="both"/>
      </w:pPr>
      <w:r>
        <w:rPr>
          <w:b/>
        </w:rPr>
        <w:t>EU izvještaj</w:t>
      </w:r>
    </w:p>
    <w:p w:rsidR="00817F4B" w:rsidRDefault="00817F4B" w:rsidP="00817F4B">
      <w:r>
        <w:t>Opća bolnica Gospić u 2025. godini imala je sklopljena tri ugovora o bespovratnim sredstvima iz EU fondova te samim tim i ostvarene prihode i rashode s toga osnova. Oba su financirana iz izvora 581 - Mehanizam za oporavak i otpornost.</w:t>
      </w:r>
    </w:p>
    <w:p w:rsidR="00817F4B" w:rsidRDefault="00817F4B" w:rsidP="00817F4B">
      <w:r>
        <w:t xml:space="preserve">Ugovor o dodjeli bespovratnih sredstava "Izgradnja građevine javne namjene, društvena namjena - zdravstvena i garaža za potrebe bolnice" sklopljen 28. srpnja 2023. godine, ukupne vrijednosti 273.581,52 eura od čega je u 2025.godini </w:t>
      </w:r>
      <w:proofErr w:type="spellStart"/>
      <w:r>
        <w:t>oprihodovano</w:t>
      </w:r>
      <w:proofErr w:type="spellEnd"/>
      <w:r>
        <w:t xml:space="preserve"> 111.566,50 eura i time je projekt završen.</w:t>
      </w:r>
    </w:p>
    <w:p w:rsidR="00817F4B" w:rsidRDefault="00817F4B" w:rsidP="00817F4B">
      <w:r>
        <w:t>Ugovor o dodjeli bespovratnih sredstava "Specijalističko usavršavanje medicinskih sestara i tehničara u djelatnosti hitne medicine" sklopljen je 27. lipnja 2025. godine ukupne vrijednosti 70.873,98 eura, a do sada je izvršeno 54.253,84 eura te na dan 31. prosinca 2025. godine nismo imali potraživanja po osnovi toga ugovora.</w:t>
      </w:r>
    </w:p>
    <w:p w:rsidR="00817F4B" w:rsidRDefault="00817F4B" w:rsidP="00817F4B">
      <w:pPr>
        <w:jc w:val="both"/>
      </w:pPr>
      <w:r>
        <w:t xml:space="preserve">Ugovor o dodjeli bespovratnih sredstava za projekte koji se financiraju iz Nacionalnog plana oporavka i otpornosti za projekt "Energetska obnova kompleksa OB Gospić na adresi </w:t>
      </w:r>
      <w:proofErr w:type="spellStart"/>
      <w:r>
        <w:t>Kaniška</w:t>
      </w:r>
      <w:proofErr w:type="spellEnd"/>
      <w:r>
        <w:t xml:space="preserve"> 111, 53000 Gospić" sklopljen dana 18. srpnja 2025. godine, ukupne vrijednosti 3.632.273,45 eura. Cijeli iznos ugovora evidentiran je na šifri </w:t>
      </w:r>
      <w:r>
        <w:rPr>
          <w:i/>
        </w:rPr>
        <w:t>99653 - Preuzete obveze po ugovorima o dodjeli bespovratnih sredstava iz EU fondova.</w:t>
      </w:r>
    </w:p>
    <w:p w:rsidR="00817F4B" w:rsidRDefault="00817F4B" w:rsidP="00817F4B">
      <w:r>
        <w:t> </w:t>
      </w:r>
    </w:p>
    <w:p w:rsidR="00817F4B" w:rsidRDefault="00817F4B" w:rsidP="00817F4B"/>
    <w:p w:rsidR="00283B5B" w:rsidRDefault="00283B5B">
      <w:bookmarkStart w:id="0" w:name="_GoBack"/>
      <w:bookmarkEnd w:id="0"/>
    </w:p>
    <w:sectPr w:rsidR="0028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5B"/>
    <w:rsid w:val="000A3176"/>
    <w:rsid w:val="00283B5B"/>
    <w:rsid w:val="0028430F"/>
    <w:rsid w:val="0081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A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A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3800</Words>
  <Characters>21662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2026-02-02T08:23:00Z</cp:lastPrinted>
  <dcterms:created xsi:type="dcterms:W3CDTF">2026-02-02T08:40:00Z</dcterms:created>
  <dcterms:modified xsi:type="dcterms:W3CDTF">2026-02-02T11:13:00Z</dcterms:modified>
</cp:coreProperties>
</file>